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8914DF" w14:textId="77777777" w:rsidR="00DE2E09" w:rsidRPr="00DE2E09" w:rsidRDefault="00DE2E09" w:rsidP="00DE2E09">
      <w:pPr>
        <w:jc w:val="center"/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一般社団法人日本整形外科超音波学会 財産管理運用規則</w:t>
      </w:r>
    </w:p>
    <w:p w14:paraId="1BF29178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3C928377" w14:textId="1B3525DB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第1章 総則</w:t>
      </w:r>
    </w:p>
    <w:p w14:paraId="5BCA3F2D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第1条 (目的)</w:t>
      </w:r>
    </w:p>
    <w:p w14:paraId="78E67E1B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この規則は、一般社団法人日本整形外科超音波学会（以下「この法人」という。）の収支状況および財産の状態を明確にし、真実かつ明瞭な報告の提供と効率的運営を目的とする。</w:t>
      </w:r>
    </w:p>
    <w:p w14:paraId="3D80CD11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1147D760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第2条 (適用範囲)</w:t>
      </w:r>
    </w:p>
    <w:p w14:paraId="0C1E3B52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この規則は、この法人のすべての会計業務に適用する。</w:t>
      </w:r>
    </w:p>
    <w:p w14:paraId="7ED66A2A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02B3C200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第3条 (会計の原則)</w:t>
      </w:r>
    </w:p>
    <w:p w14:paraId="45262D53" w14:textId="75006A79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この法人の会計は、法令、定款およびこの規則に従い、一般財団法人に関する法律に準拠して処理する。</w:t>
      </w:r>
    </w:p>
    <w:p w14:paraId="64A5B340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43DA96E2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第4条 (会計年度)</w:t>
      </w:r>
    </w:p>
    <w:p w14:paraId="33DB46E0" w14:textId="7B76E952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この法人の会計年度は、定款に基づき毎年</w:t>
      </w:r>
      <w:r w:rsidR="00D974F4">
        <w:rPr>
          <w:rFonts w:ascii="游明朝" w:eastAsia="游明朝" w:hAnsi="游明朝" w:hint="eastAsia"/>
        </w:rPr>
        <w:t>6</w:t>
      </w:r>
      <w:r w:rsidRPr="00DE2E09">
        <w:rPr>
          <w:rFonts w:ascii="游明朝" w:eastAsia="游明朝" w:hAnsi="游明朝" w:hint="eastAsia"/>
        </w:rPr>
        <w:t>月1日から翌年</w:t>
      </w:r>
      <w:r w:rsidR="00D974F4">
        <w:rPr>
          <w:rFonts w:ascii="游明朝" w:eastAsia="游明朝" w:hAnsi="游明朝" w:hint="eastAsia"/>
        </w:rPr>
        <w:t>5</w:t>
      </w:r>
      <w:r w:rsidRPr="00DE2E09">
        <w:rPr>
          <w:rFonts w:ascii="游明朝" w:eastAsia="游明朝" w:hAnsi="游明朝" w:hint="eastAsia"/>
        </w:rPr>
        <w:t>月3</w:t>
      </w:r>
      <w:r w:rsidR="00D974F4">
        <w:rPr>
          <w:rFonts w:ascii="游明朝" w:eastAsia="游明朝" w:hAnsi="游明朝" w:hint="eastAsia"/>
        </w:rPr>
        <w:t>1</w:t>
      </w:r>
      <w:r w:rsidRPr="00DE2E09">
        <w:rPr>
          <w:rFonts w:ascii="游明朝" w:eastAsia="游明朝" w:hAnsi="游明朝" w:hint="eastAsia"/>
        </w:rPr>
        <w:t>日とする。</w:t>
      </w:r>
    </w:p>
    <w:p w14:paraId="7E3AD2FE" w14:textId="77777777" w:rsidR="00DE2E09" w:rsidRPr="00D974F4" w:rsidRDefault="00DE2E09" w:rsidP="00DE2E09">
      <w:pPr>
        <w:rPr>
          <w:rFonts w:ascii="游明朝" w:eastAsia="游明朝" w:hAnsi="游明朝"/>
        </w:rPr>
      </w:pPr>
      <w:bookmarkStart w:id="0" w:name="_GoBack"/>
      <w:bookmarkEnd w:id="0"/>
    </w:p>
    <w:p w14:paraId="31BD4F63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第5条 (規則の変更)</w:t>
      </w:r>
    </w:p>
    <w:p w14:paraId="469B5F35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この規則の変更は理事会の議決により行い、社員総会に報告する。</w:t>
      </w:r>
    </w:p>
    <w:p w14:paraId="51A050B7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15E20FE5" w14:textId="48EDB66C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lastRenderedPageBreak/>
        <w:t>第2章 勘定及び帳簿</w:t>
      </w:r>
    </w:p>
    <w:p w14:paraId="1C88792B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第6条 (勘定科目)</w:t>
      </w:r>
    </w:p>
    <w:p w14:paraId="3A9D2A35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この法人のすべての取引は、別に定める勘定科目により処理する。</w:t>
      </w:r>
    </w:p>
    <w:p w14:paraId="3A6906F3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6A3C6DFE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第7条 (帳簿等)</w:t>
      </w:r>
    </w:p>
    <w:p w14:paraId="2B54A1AF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会計帳簿は以下のとおりとする。</w:t>
      </w:r>
    </w:p>
    <w:p w14:paraId="68CB8C71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63D7AB08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主要帳簿</w:t>
      </w:r>
    </w:p>
    <w:p w14:paraId="63C945E5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(1) 総勘定元帳</w:t>
      </w:r>
    </w:p>
    <w:p w14:paraId="3B8B42ED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(2) 仕分帳（または会計伝票）</w:t>
      </w:r>
    </w:p>
    <w:p w14:paraId="689344AE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補助帳簿</w:t>
      </w:r>
    </w:p>
    <w:p w14:paraId="74BEA518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(1) 現金出納帳</w:t>
      </w:r>
    </w:p>
    <w:p w14:paraId="50D07A69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(2) 預金出納帳</w:t>
      </w:r>
    </w:p>
    <w:p w14:paraId="68F4EF2D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(3) 収支予算の管理に必要な帳簿</w:t>
      </w:r>
    </w:p>
    <w:p w14:paraId="178873CE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(4) 固定資産台帳</w:t>
      </w:r>
    </w:p>
    <w:p w14:paraId="68CF733C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(5) 基本財産台帳</w:t>
      </w:r>
    </w:p>
    <w:p w14:paraId="7984B6FC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(6) 特定資産台帳</w:t>
      </w:r>
    </w:p>
    <w:p w14:paraId="736CDADA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(7) 会費台帳</w:t>
      </w:r>
    </w:p>
    <w:p w14:paraId="3214E065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第8条 (会計責任者)</w:t>
      </w:r>
    </w:p>
    <w:p w14:paraId="65F15EA0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会計責任者は、会計担当理事（以下「会計責任者」という。）とする。</w:t>
      </w:r>
    </w:p>
    <w:p w14:paraId="77C81B74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52D23098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lastRenderedPageBreak/>
        <w:t>第9条 (帳簿書類の保存)</w:t>
      </w:r>
    </w:p>
    <w:p w14:paraId="649F1002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帳簿、伝票、書類の保存期間は10年とし、会計責任者の承認を受ける。</w:t>
      </w:r>
    </w:p>
    <w:p w14:paraId="4535FFEE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27CCE60E" w14:textId="627C256C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第3章 予算</w:t>
      </w:r>
    </w:p>
    <w:p w14:paraId="7AA27DC6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第10条 (目的)</w:t>
      </w:r>
    </w:p>
    <w:p w14:paraId="46C01B33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予算は明確な事業計画に基づいて作成し、事業活動の円滑な運営を図ることを目的とする。</w:t>
      </w:r>
    </w:p>
    <w:p w14:paraId="52E0608C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04E4BFB7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第11条 (予算の承認)</w:t>
      </w:r>
    </w:p>
    <w:p w14:paraId="569B95B0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この法人の事業計画と予算は、毎事業年度開始前に作成し、社員総会の承認を得なければならない。</w:t>
      </w:r>
    </w:p>
    <w:p w14:paraId="29CA6259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542BA8E7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第12条 (予算の執行)</w:t>
      </w:r>
    </w:p>
    <w:p w14:paraId="29FB8514" w14:textId="65DAE9FF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予算の執行者は</w:t>
      </w:r>
      <w:r>
        <w:rPr>
          <w:rFonts w:ascii="游明朝" w:eastAsia="游明朝" w:hAnsi="游明朝" w:hint="eastAsia"/>
        </w:rPr>
        <w:t>理事長</w:t>
      </w:r>
      <w:r w:rsidRPr="00DE2E09">
        <w:rPr>
          <w:rFonts w:ascii="游明朝" w:eastAsia="游明朝" w:hAnsi="游明朝" w:hint="eastAsia"/>
        </w:rPr>
        <w:t>とし、会計責任者が</w:t>
      </w:r>
      <w:r>
        <w:rPr>
          <w:rFonts w:ascii="游明朝" w:eastAsia="游明朝" w:hAnsi="游明朝" w:hint="eastAsia"/>
        </w:rPr>
        <w:t>理事長</w:t>
      </w:r>
      <w:r w:rsidRPr="00DE2E09">
        <w:rPr>
          <w:rFonts w:ascii="游明朝" w:eastAsia="游明朝" w:hAnsi="游明朝" w:hint="eastAsia"/>
        </w:rPr>
        <w:t>の委任を受けて行う。</w:t>
      </w:r>
    </w:p>
    <w:p w14:paraId="312D1DF8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2AE3746F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第13条 (予備費の計上)</w:t>
      </w:r>
    </w:p>
    <w:p w14:paraId="72F688C8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予算しがたい支出に充てるため、予備費を計上することができる。</w:t>
      </w:r>
    </w:p>
    <w:p w14:paraId="76EA6547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193C41F7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第14条 (予算の流用)</w:t>
      </w:r>
    </w:p>
    <w:p w14:paraId="37BB6D3C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予算の流用が必要な場合、理事会の承認を得るものとする。</w:t>
      </w:r>
    </w:p>
    <w:p w14:paraId="2C5A5BBC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217DF2F9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lastRenderedPageBreak/>
        <w:t>第15条 (予備費の使用)</w:t>
      </w:r>
    </w:p>
    <w:p w14:paraId="77DEEC5B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予備費を使用する場合、理事会の承認を得なければならない。</w:t>
      </w:r>
    </w:p>
    <w:p w14:paraId="3E1E5E36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2E1120E6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第16条 (予算の補正)</w:t>
      </w:r>
    </w:p>
    <w:p w14:paraId="6227E4E1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予算の補正が必要な場合、補正予算を作成し、社員総会の承認を得なければならない。</w:t>
      </w:r>
    </w:p>
    <w:p w14:paraId="2F8476F6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07D49270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第4章 出納</w:t>
      </w:r>
    </w:p>
    <w:p w14:paraId="010288B7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59438688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第17条 (金銭の範囲)</w:t>
      </w:r>
    </w:p>
    <w:p w14:paraId="0E8CF623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金銭とは、現金および貯預金をいう。現金には通貨、小切手、郵便為替証書等を含む。手形および有価証券は金銭に準じて扱う。</w:t>
      </w:r>
    </w:p>
    <w:p w14:paraId="50CB5CC7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24B323BF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第18条 (出納責任者)</w:t>
      </w:r>
    </w:p>
    <w:p w14:paraId="076F2DFB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金銭の出納、保管については、出納責任者を置き、会計責任者が任命する。</w:t>
      </w:r>
    </w:p>
    <w:p w14:paraId="4F43B69F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73C1D3B1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第19条 (金銭の出納)</w:t>
      </w:r>
    </w:p>
    <w:p w14:paraId="6DE316A6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金銭を収納した際は、日々銀行に預け入れ、支出に充ててはならない。領収書は出納責任者が発行し、必要に応じて会計責任者の承認を得る。支払いは原則として銀行振込とし、少額の場合は現金払いができる。</w:t>
      </w:r>
    </w:p>
    <w:p w14:paraId="3BE8C6FB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6C265B94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第20条 (現金及び公印管理)</w:t>
      </w:r>
    </w:p>
    <w:p w14:paraId="16943926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lastRenderedPageBreak/>
        <w:t>預金の名義人は会長とし、出納に使用する印鑑は出納責任者が保管する。金融取引の開始または廃止は会長の承認を受ける。</w:t>
      </w:r>
    </w:p>
    <w:p w14:paraId="4F612E5C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5E3C6B2B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第21条 (手許現金)</w:t>
      </w:r>
    </w:p>
    <w:p w14:paraId="4EE8321A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出納責任者は、日々の現金支払に必要な最小限の手許現金を置くことができる。</w:t>
      </w:r>
    </w:p>
    <w:p w14:paraId="3CD6F559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1D8F325F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第22条 (残高照合)</w:t>
      </w:r>
    </w:p>
    <w:p w14:paraId="198C3497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出納責任者は、現金残高を毎日出納簿と照合しなければならない。貯預金は年度末および必要に応じて残高証明書と照合する。差額がある場合は会計責任者に報告し、その指示を受ける。</w:t>
      </w:r>
    </w:p>
    <w:p w14:paraId="32CA42AC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146C94B5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第5章 固定資産</w:t>
      </w:r>
    </w:p>
    <w:p w14:paraId="24919D87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0154F93F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第23条 (定義)</w:t>
      </w:r>
    </w:p>
    <w:p w14:paraId="33EA9804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固定資産とは、耐用年数1年以上かつ取得価額10万円以上の有形固定資産およびその他の固定資産をいう。</w:t>
      </w:r>
    </w:p>
    <w:p w14:paraId="49D698C9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48B0395D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第24条 (取得価額)</w:t>
      </w:r>
    </w:p>
    <w:p w14:paraId="2B957AF4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固定資産の取得価額は、購入の場合は取得価額および付帯費用、贈与の場合は適正な評価額とする。</w:t>
      </w:r>
    </w:p>
    <w:p w14:paraId="209AB823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6A96D3DB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第25条 (固定資産の管理)</w:t>
      </w:r>
    </w:p>
    <w:p w14:paraId="374A5ACA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lastRenderedPageBreak/>
        <w:t>固定資産は台帳に記録し、異動、毀損、減失があった場合は会計責任者に報告する。</w:t>
      </w:r>
    </w:p>
    <w:p w14:paraId="3A89D63E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54ECE0B7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第6章 物品</w:t>
      </w:r>
    </w:p>
    <w:p w14:paraId="1E759E4E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2146D74D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第26条 (定義)</w:t>
      </w:r>
    </w:p>
    <w:p w14:paraId="35BE6AF5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物品とは、取得価額10万円未満の有形固定資産をいう。</w:t>
      </w:r>
    </w:p>
    <w:p w14:paraId="651A0581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32521129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第27条 (物品の管理)</w:t>
      </w:r>
    </w:p>
    <w:p w14:paraId="11692FEF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物品の管理のための台帳を備え、その管理は第25条に準じる。</w:t>
      </w:r>
    </w:p>
    <w:p w14:paraId="0B6095BB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135CD95D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第7章 決算</w:t>
      </w:r>
    </w:p>
    <w:p w14:paraId="6C0B81A0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1078C3D9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第28条 (計算書類の作成)</w:t>
      </w:r>
    </w:p>
    <w:p w14:paraId="03FE24E4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この法人は毎事業年度終了後、次の財務表および収支計算書を作成し、監事の監査と総会の承認を得て、事業報告書とともにホームページ上に公開する。</w:t>
      </w:r>
    </w:p>
    <w:p w14:paraId="47D9F620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(1) 貸借対照表</w:t>
      </w:r>
    </w:p>
    <w:p w14:paraId="0FC4056A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(2) 正味財産増減計算書または損益計算書</w:t>
      </w:r>
    </w:p>
    <w:p w14:paraId="6E107A8A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(3) 財産目録</w:t>
      </w:r>
    </w:p>
    <w:p w14:paraId="0939E178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0C8B6A46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第8章 雑則</w:t>
      </w:r>
    </w:p>
    <w:p w14:paraId="5B78C350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42E9C3A2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lastRenderedPageBreak/>
        <w:t>第29条 (規則の改廃)</w:t>
      </w:r>
    </w:p>
    <w:p w14:paraId="1D02E316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本規則の改廃は、理事会の承認を得て行う。</w:t>
      </w:r>
    </w:p>
    <w:p w14:paraId="12CE968A" w14:textId="77777777" w:rsidR="00DE2E09" w:rsidRPr="00DE2E09" w:rsidRDefault="00DE2E09" w:rsidP="00DE2E09">
      <w:pPr>
        <w:rPr>
          <w:rFonts w:ascii="游明朝" w:eastAsia="游明朝" w:hAnsi="游明朝"/>
        </w:rPr>
      </w:pPr>
    </w:p>
    <w:p w14:paraId="1A71F3EB" w14:textId="77777777" w:rsidR="00DE2E09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附則</w:t>
      </w:r>
    </w:p>
    <w:p w14:paraId="66551DCA" w14:textId="2B937410" w:rsidR="002E641E" w:rsidRPr="00DE2E09" w:rsidRDefault="00DE2E09" w:rsidP="00DE2E09">
      <w:pPr>
        <w:rPr>
          <w:rFonts w:ascii="游明朝" w:eastAsia="游明朝" w:hAnsi="游明朝"/>
        </w:rPr>
      </w:pPr>
      <w:r w:rsidRPr="00DE2E09">
        <w:rPr>
          <w:rFonts w:ascii="游明朝" w:eastAsia="游明朝" w:hAnsi="游明朝" w:hint="eastAsia"/>
        </w:rPr>
        <w:t>この規則は、令和</w:t>
      </w:r>
      <w:r w:rsidR="00B834FC">
        <w:rPr>
          <w:rFonts w:ascii="游明朝" w:eastAsia="游明朝" w:hAnsi="游明朝" w:hint="eastAsia"/>
        </w:rPr>
        <w:t>6</w:t>
      </w:r>
      <w:r w:rsidRPr="00DE2E09">
        <w:rPr>
          <w:rFonts w:ascii="游明朝" w:eastAsia="游明朝" w:hAnsi="游明朝" w:hint="eastAsia"/>
        </w:rPr>
        <w:t>年</w:t>
      </w:r>
      <w:r w:rsidR="00B834FC">
        <w:rPr>
          <w:rFonts w:ascii="游明朝" w:eastAsia="游明朝" w:hAnsi="游明朝" w:hint="eastAsia"/>
        </w:rPr>
        <w:t>10</w:t>
      </w:r>
      <w:r w:rsidRPr="00DE2E09">
        <w:rPr>
          <w:rFonts w:ascii="游明朝" w:eastAsia="游明朝" w:hAnsi="游明朝" w:hint="eastAsia"/>
        </w:rPr>
        <w:t>月</w:t>
      </w:r>
      <w:r w:rsidR="00B834FC">
        <w:rPr>
          <w:rFonts w:ascii="游明朝" w:eastAsia="游明朝" w:hAnsi="游明朝" w:hint="eastAsia"/>
        </w:rPr>
        <w:t>18</w:t>
      </w:r>
      <w:r w:rsidRPr="00DE2E09">
        <w:rPr>
          <w:rFonts w:ascii="游明朝" w:eastAsia="游明朝" w:hAnsi="游明朝" w:hint="eastAsia"/>
        </w:rPr>
        <w:t>日から施行する。</w:t>
      </w:r>
    </w:p>
    <w:sectPr w:rsidR="002E641E" w:rsidRPr="00DE2E0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panose1 w:val="00000000000000000000"/>
    <w:charset w:val="00"/>
    <w:family w:val="roman"/>
    <w:notTrueType/>
    <w:pitch w:val="default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E09"/>
    <w:rsid w:val="00165799"/>
    <w:rsid w:val="002E641E"/>
    <w:rsid w:val="00751D7E"/>
    <w:rsid w:val="00B834FC"/>
    <w:rsid w:val="00D974F4"/>
    <w:rsid w:val="00DB6912"/>
    <w:rsid w:val="00DE2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CEA515E"/>
  <w15:chartTrackingRefBased/>
  <w15:docId w15:val="{90C66207-1586-B846-8563-FFB149764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E2E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E2E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E2E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E2E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E2E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E2E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E2E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E2E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E2E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DE2E0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見出し 2 (文字)"/>
    <w:basedOn w:val="a0"/>
    <w:link w:val="2"/>
    <w:uiPriority w:val="9"/>
    <w:semiHidden/>
    <w:rsid w:val="00DE2E0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見出し 3 (文字)"/>
    <w:basedOn w:val="a0"/>
    <w:link w:val="3"/>
    <w:uiPriority w:val="9"/>
    <w:semiHidden/>
    <w:rsid w:val="00DE2E0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見出し 4 (文字)"/>
    <w:basedOn w:val="a0"/>
    <w:link w:val="4"/>
    <w:uiPriority w:val="9"/>
    <w:semiHidden/>
    <w:rsid w:val="00DE2E09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見出し 5 (文字)"/>
    <w:basedOn w:val="a0"/>
    <w:link w:val="5"/>
    <w:uiPriority w:val="9"/>
    <w:semiHidden/>
    <w:rsid w:val="00DE2E09"/>
    <w:rPr>
      <w:rFonts w:eastAsiaTheme="majorEastAsia" w:cstheme="majorBidi"/>
      <w:color w:val="0F4761" w:themeColor="accent1" w:themeShade="BF"/>
    </w:rPr>
  </w:style>
  <w:style w:type="character" w:customStyle="1" w:styleId="60">
    <w:name w:val="見出し 6 (文字)"/>
    <w:basedOn w:val="a0"/>
    <w:link w:val="6"/>
    <w:uiPriority w:val="9"/>
    <w:semiHidden/>
    <w:rsid w:val="00DE2E09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見出し 7 (文字)"/>
    <w:basedOn w:val="a0"/>
    <w:link w:val="7"/>
    <w:uiPriority w:val="9"/>
    <w:semiHidden/>
    <w:rsid w:val="00DE2E09"/>
    <w:rPr>
      <w:rFonts w:eastAsiaTheme="majorEastAsia" w:cstheme="majorBidi"/>
      <w:color w:val="595959" w:themeColor="text1" w:themeTint="A6"/>
    </w:rPr>
  </w:style>
  <w:style w:type="character" w:customStyle="1" w:styleId="80">
    <w:name w:val="見出し 8 (文字)"/>
    <w:basedOn w:val="a0"/>
    <w:link w:val="8"/>
    <w:uiPriority w:val="9"/>
    <w:semiHidden/>
    <w:rsid w:val="00DE2E09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見出し 9 (文字)"/>
    <w:basedOn w:val="a0"/>
    <w:link w:val="9"/>
    <w:uiPriority w:val="9"/>
    <w:semiHidden/>
    <w:rsid w:val="00DE2E09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DE2E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DE2E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E2E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DE2E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DE2E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DE2E0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DE2E09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DE2E09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DE2E0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DE2E09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DE2E09"/>
    <w:rPr>
      <w:b/>
      <w:bCs/>
      <w:smallCaps/>
      <w:color w:val="0F4761" w:themeColor="accent1" w:themeShade="BF"/>
      <w:spacing w:val="5"/>
    </w:rPr>
  </w:style>
  <w:style w:type="paragraph" w:styleId="aa">
    <w:name w:val="Balloon Text"/>
    <w:basedOn w:val="a"/>
    <w:link w:val="ab"/>
    <w:uiPriority w:val="99"/>
    <w:semiHidden/>
    <w:unhideWhenUsed/>
    <w:rsid w:val="00B834F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B834FC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583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284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長谷川 英雄</dc:creator>
  <cp:keywords/>
  <dc:description/>
  <cp:lastModifiedBy>HP</cp:lastModifiedBy>
  <cp:revision>4</cp:revision>
  <cp:lastPrinted>2024-10-24T01:49:00Z</cp:lastPrinted>
  <dcterms:created xsi:type="dcterms:W3CDTF">2024-06-25T00:30:00Z</dcterms:created>
  <dcterms:modified xsi:type="dcterms:W3CDTF">2025-06-03T05:45:00Z</dcterms:modified>
</cp:coreProperties>
</file>